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Description of Emergent Themes</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8039103</w:t>
      </w:r>
    </w:p>
    <w:p>
      <w:pPr>
        <w:spacing w:after="0" w:before="0" w:line="480" w:lineRule="auto"/>
        <w:jc w:val="center"/>
      </w:pPr>
      <w:r>
        <w:rPr>
          <w:rFonts w:ascii="Times New Roman" w:cs="Times New Roman" w:eastAsia="Times New Roman" w:hAnsi="Times New Roman"/>
          <w:b w:val="false"/>
          <w:bCs w:val="false"/>
          <w:sz w:val="24"/>
          <w:szCs w:val="24"/>
        </w:rPr>
        <w:t xml:space="preserve">Dr. Dana Mason</w:t>
      </w:r>
    </w:p>
    <w:p>
      <w:pPr>
        <w:spacing w:after="0" w:before="0" w:line="480" w:lineRule="auto"/>
        <w:jc w:val="center"/>
      </w:pPr>
      <w:r>
        <w:rPr>
          <w:rFonts w:ascii="Times New Roman" w:cs="Times New Roman" w:eastAsia="Times New Roman" w:hAnsi="Times New Roman"/>
          <w:b w:val="false"/>
          <w:bCs w:val="false"/>
          <w:sz w:val="24"/>
          <w:szCs w:val="24"/>
        </w:rPr>
        <w:t xml:space="preserve">August 3, 2025</w:t>
      </w:r>
    </w:p>
    <w:p>
      <w:pPr>
        <w:spacing w:after="0" w:before="0" w:line="480" w:lineRule="auto"/>
      </w:pPr>
      <w:r>
        <w:br w:type="page"/>
      </w:r>
    </w:p>
    <w:p>
      <w:pPr>
        <w:spacing w:after="0" w:before="0" w:line="480" w:lineRule="auto"/>
        <w:ind w:firstLine="720"/>
        <w:jc w:val="left"/>
      </w:pPr>
      <w:r>
        <w:rPr>
          <w:rFonts w:ascii="Times New Roman" w:cs="Times New Roman" w:eastAsia="Times New Roman" w:hAnsi="Times New Roman"/>
          <w:sz w:val="24"/>
          <w:szCs w:val="24"/>
        </w:rPr>
        <w:t xml:space="preserve">The </w:t>
      </w:r>
      <w:r>
        <w:rPr>
          <w:rFonts w:ascii="Times New Roman" w:cs="Times New Roman" w:eastAsia="Times New Roman" w:hAnsi="Times New Roman"/>
          <w:i/>
          <w:iCs/>
          <w:sz w:val="24"/>
          <w:szCs w:val="24"/>
        </w:rPr>
        <w:t xml:space="preserve">How I Work</w:t>
      </w:r>
      <w:r>
        <w:rPr>
          <w:rFonts w:ascii="Times New Roman" w:cs="Times New Roman" w:eastAsia="Times New Roman" w:hAnsi="Times New Roman"/>
          <w:sz w:val="24"/>
          <w:szCs w:val="24"/>
        </w:rPr>
        <w:t xml:space="preserve"> series on Lifehacker features people from a variety of professions and provides insight into how they plan their work, manage their time, and remain productive. Even though they work in a variety of jobs and sectors, these interviews highlight recurrent themes that show how successful professionals deal with the hectic and complex work settings of today. The diverse range of viewpoints that the series portrays—from writers, engineers, entrepreneurs, and artists—each with their own methods for meeting deadlines and maintaining motivation, is what makes it so captivating. Beyond personality or sector variations, however, there is a common emphasis on resilience, attention, and prioritization. Setting clear limits, creating procedures that minimize distractions, and identifying tools or techniques that genuinely enhance their approach are all stressed by several interviewees.</w:t>
      </w:r>
    </w:p>
    <w:p>
      <w:pPr>
        <w:spacing w:after="0" w:before="0" w:line="480" w:lineRule="auto"/>
        <w:ind w:firstLine="720"/>
        <w:jc w:val="left"/>
      </w:pPr>
      <w:r>
        <w:rPr>
          <w:rFonts w:ascii="Times New Roman" w:cs="Times New Roman" w:eastAsia="Times New Roman" w:hAnsi="Times New Roman"/>
          <w:sz w:val="24"/>
          <w:szCs w:val="24"/>
        </w:rPr>
        <w:t xml:space="preserve">A major theme is the shift towards personalized productivity strategies. Instead of using generic tools, individuals create their own systems with platforms like Trello, Notion, or even traditional paper notebooks. These methods reflect a sense of independence and help people tailor their tasks to their personal goals, aligning with theories that emphasize the importance of having control and making choices to stay motivated and perform well through self-determination (Ryan &amp; Deci, 2000).</w:t>
      </w:r>
    </w:p>
    <w:p>
      <w:pPr>
        <w:spacing w:after="0" w:before="0" w:line="480" w:lineRule="auto"/>
        <w:ind w:firstLine="720"/>
        <w:jc w:val="left"/>
      </w:pPr>
      <w:r>
        <w:rPr>
          <w:rFonts w:ascii="Times New Roman" w:cs="Times New Roman" w:eastAsia="Times New Roman" w:hAnsi="Times New Roman"/>
          <w:sz w:val="24"/>
          <w:szCs w:val="24"/>
        </w:rPr>
        <w:t xml:space="preserve">It is crucial to have a regular schedule and organization. Many people rely on regular routines, such as morning rituals or specific times for concentrated work, to help them stay focused and avoid feeling overloaded with options. This is consistent with Newport’s (2016) idea of </w:t>
      </w:r>
      <w:r>
        <w:rPr>
          <w:rFonts w:ascii="Times New Roman" w:cs="Times New Roman" w:eastAsia="Times New Roman" w:hAnsi="Times New Roman"/>
          <w:sz w:val="24"/>
          <w:szCs w:val="24"/>
        </w:rPr>
        <w:t xml:space="preserve">deep work</w:t>
      </w:r>
      <w:r>
        <w:rPr>
          <w:rFonts w:ascii="Times New Roman" w:cs="Times New Roman" w:eastAsia="Times New Roman" w:hAnsi="Times New Roman"/>
          <w:sz w:val="24"/>
          <w:szCs w:val="24"/>
        </w:rPr>
        <w:t xml:space="preserve">, which emphasizes the value of uninterrupted, concentrated attention in generating excellent work. In addition to saving mental energy, establishing routines for when and how work is completed fosters steadiness in the face of ongoing pressures. Blocks of time set out for work without interruptions, for example, enable people to perform cognitively taxing jobs more successfully, and regular routines, such as beginning each day with planning or introspection, preserve focus and lessen decision fatigue.</w:t>
      </w:r>
    </w:p>
    <w:p>
      <w:pPr>
        <w:spacing w:after="0" w:before="0" w:line="480" w:lineRule="auto"/>
        <w:ind w:firstLine="720"/>
        <w:jc w:val="left"/>
      </w:pPr>
      <w:r>
        <w:rPr>
          <w:rFonts w:ascii="Times New Roman" w:cs="Times New Roman" w:eastAsia="Times New Roman" w:hAnsi="Times New Roman"/>
          <w:sz w:val="24"/>
          <w:szCs w:val="24"/>
        </w:rPr>
        <w:t xml:space="preserve">Another important pattern is the deliberate use of technology. Even though digital tools are everywhere, many people choose to turn off notifications or disconnect often to avoid burnout and information overload, following the principles of digital minimalism (Newport, 2019). Additionally, setting clear priorities and boundaries helps individuals stay focused on their main objectives by eliminating low-value tasks or distractions.</w:t>
      </w:r>
    </w:p>
    <w:p>
      <w:pPr>
        <w:spacing w:after="0" w:before="0" w:line="480" w:lineRule="auto"/>
        <w:ind w:firstLine="720"/>
        <w:jc w:val="left"/>
      </w:pPr>
      <w:r>
        <w:rPr>
          <w:rFonts w:ascii="Times New Roman" w:cs="Times New Roman" w:eastAsia="Times New Roman" w:hAnsi="Times New Roman"/>
          <w:sz w:val="24"/>
          <w:szCs w:val="24"/>
        </w:rPr>
        <w:t xml:space="preserve">Many profiles highlight the importance of balancing work and personal life, as well as the value of continuous learning. Instead of keeping these areas completely separate, people often blend their professional and personal routines in ways that support mental health and long-term sustainability. They tend to see themselves as lifelong learners, demonstrating an adaptable mindset that is essential in constantly changing work environments (Senge, 1990). Overall, the </w:t>
      </w:r>
      <w:r>
        <w:rPr>
          <w:rFonts w:ascii="Times New Roman" w:cs="Times New Roman" w:eastAsia="Times New Roman" w:hAnsi="Times New Roman"/>
          <w:i/>
          <w:iCs/>
          <w:sz w:val="24"/>
          <w:szCs w:val="24"/>
        </w:rPr>
        <w:t xml:space="preserve">How I Work</w:t>
      </w:r>
      <w:r>
        <w:rPr>
          <w:rFonts w:ascii="Times New Roman" w:cs="Times New Roman" w:eastAsia="Times New Roman" w:hAnsi="Times New Roman"/>
          <w:sz w:val="24"/>
          <w:szCs w:val="24"/>
        </w:rPr>
        <w:t xml:space="preserve"> series shows that being productive is not just about tools; it is about intentionally designing an approach, remaining flexible, and being self-aware. These insights offer useful guidance for scholars and professionals aiming to build resilient and meaningful work habits.</w:t>
      </w:r>
    </w:p>
    <w:p>
      <w:pPr>
        <w:spacing w:after="0" w:before="0" w:line="480" w:lineRule="auto"/>
        <w:ind w:firstLine="720"/>
        <w:jc w:val="left"/>
      </w:pPr>
      <w:r>
        <w:rPr>
          <w:rFonts w:ascii="Times New Roman" w:cs="Times New Roman" w:eastAsia="Times New Roman" w:hAnsi="Times New Roman"/>
          <w:sz w:val="24"/>
          <w:szCs w:val="24"/>
        </w:rPr>
        <w:t xml:space="preserve">The deliberate use of technology to maintain presence and connection with his team despite geographical distance is the recurring theme in Richard Garriott’s </w:t>
      </w:r>
      <w:r>
        <w:rPr>
          <w:rFonts w:ascii="Times New Roman" w:cs="Times New Roman" w:eastAsia="Times New Roman" w:hAnsi="Times New Roman"/>
          <w:i/>
          <w:iCs/>
          <w:sz w:val="24"/>
          <w:szCs w:val="24"/>
        </w:rPr>
        <w:t xml:space="preserve">How I Work</w:t>
      </w:r>
      <w:r>
        <w:rPr>
          <w:rFonts w:ascii="Times New Roman" w:cs="Times New Roman" w:eastAsia="Times New Roman" w:hAnsi="Times New Roman"/>
          <w:sz w:val="24"/>
          <w:szCs w:val="24"/>
        </w:rPr>
        <w:t xml:space="preserve"> interview. Garriott is mostly dependent on his Beam telepresence robot, which enables him to teleport from his New York City home office to Austin and communicate with coworkers as though he were present. He stresses the value of being consistently present throughout the workday, regarding his virtual presence as no different from an in-person one, rather than depending on sporadic video chats. This strategy demonstrates how technology, when utilized carefully, may break down geographical borders, promote in-the-moment collaboration, and preserve team cohesiveness even in remote work settings.</w:t>
      </w:r>
    </w:p>
    <w:p>
      <w:pPr>
        <w:spacing w:after="0" w:before="0" w:line="480" w:lineRule="auto"/>
        <w:ind w:firstLine="720"/>
        <w:jc w:val="left"/>
      </w:pPr>
      <w:r>
        <w:rPr>
          <w:rFonts w:ascii="Times New Roman" w:cs="Times New Roman" w:eastAsia="Times New Roman" w:hAnsi="Times New Roman"/>
          <w:sz w:val="24"/>
          <w:szCs w:val="24"/>
        </w:rPr>
        <w:t xml:space="preserve">The transition from individual creative autonomy to collaborative leadership is the recurring theme throughout Jad Abumrad’s work. Immersed in every aspect of production at first, Abumrad learned the benefits of distributed creativity within his team and the limitations of solo authorship. His notion that invention arises through discussion and communal agency is further reflected in his editorial style, which layers several voices in a manner evocative of musical counterpoint. Abumrad’s career serves as an example of how the shift from individual to collective modes of production is crucial to maintaining creative innovation in modern media.</w:t>
      </w:r>
    </w:p>
    <w:p>
      <w:pPr>
        <w:spacing w:after="0" w:before="0" w:line="480" w:lineRule="auto"/>
        <w:ind w:firstLine="720"/>
        <w:jc w:val="left"/>
      </w:pPr>
      <w:r>
        <w:rPr>
          <w:rFonts w:ascii="Times New Roman" w:cs="Times New Roman" w:eastAsia="Times New Roman" w:hAnsi="Times New Roman"/>
          <w:sz w:val="24"/>
          <w:szCs w:val="24"/>
        </w:rPr>
        <w:t xml:space="preserve">The use of media entrepreneurship to advance empowerment and inclusivity is the recurring theme in Sirita Wright’s writing. She addresses underrepresentation in the cannabis sector by combining content, education, and community development through her platform EstroHaze, which amplifies the voices of women of color. Her strategy shows how media endeavors can help historically underserved communities achieve economic fairness and cultural exposure.</w:t>
      </w:r>
    </w:p>
    <w:p>
      <w:pPr>
        <w:spacing w:after="0" w:before="0" w:line="480" w:lineRule="auto"/>
        <w:ind w:firstLine="720"/>
        <w:jc w:val="left"/>
      </w:pPr>
      <w:r>
        <w:rPr>
          <w:rFonts w:ascii="Times New Roman" w:cs="Times New Roman" w:eastAsia="Times New Roman" w:hAnsi="Times New Roman"/>
          <w:sz w:val="24"/>
          <w:szCs w:val="24"/>
        </w:rPr>
        <w:t xml:space="preserve">In his role as editor of the New York Times crossword, Will Shortz strikes a balance between creative puzzle creation, traditional research, and thorough clue crafting and evaluation. His strategy places a strong emphasis on maintaining the crossword’s integrity while also encouraging a cooperative, thought-provoking community. Shortz’s dedication to truth and depth is demonstrated by his preference for in-depth, book-based research over cursory internet searches.</w:t>
      </w:r>
    </w:p>
    <w:p>
      <w:pPr>
        <w:spacing w:after="0" w:before="0" w:line="480" w:lineRule="auto"/>
        <w:ind w:firstLine="720"/>
        <w:jc w:val="left"/>
      </w:pPr>
      <w:r>
        <w:rPr>
          <w:rFonts w:ascii="Times New Roman" w:cs="Times New Roman" w:eastAsia="Times New Roman" w:hAnsi="Times New Roman"/>
          <w:sz w:val="24"/>
          <w:szCs w:val="24"/>
        </w:rPr>
        <w:t xml:space="preserve">The recurrent theme of Toomas Hendrik Ilves’s professional approach is the intersection of digital innovation and democratic governance. During his tenure as President of Estonia from 2006 to 2016, Ilves drove the nation’s digital transition by putting policies like the e-Estonia program into place, which allowed individuals to access government services like voting and healthcare online. Ilves’s viewpoint on how technology and society interact was influenced by his experience as a journalist and diplomat, as well as his psychology degree. In order to preserve democratic institutions in the digital age, he underlined the significance of cybersecurity and digital literacy.</w:t>
      </w:r>
    </w:p>
    <w:p>
      <w:pPr>
        <w:spacing w:after="0" w:before="0" w:line="480" w:lineRule="auto"/>
        <w:ind w:firstLine="720"/>
        <w:jc w:val="left"/>
      </w:pPr>
      <w:r>
        <w:rPr>
          <w:rFonts w:ascii="Times New Roman" w:cs="Times New Roman" w:eastAsia="Times New Roman" w:hAnsi="Times New Roman"/>
          <w:sz w:val="24"/>
          <w:szCs w:val="24"/>
        </w:rPr>
        <w:t xml:space="preserve">The harmony between painstaking craftsmanship and artistic freedom is the recurring topic in Demi Adejuyigbe’s creative process. He resists strict timetables, monetization, and audience-driven expectations in order to create intricate, multi-layered comic works, such as his viral September films. This strategy enables him to remain real in live, online, and broadcast settings.</w:t>
      </w:r>
    </w:p>
    <w:p>
      <w:pPr>
        <w:spacing w:after="0" w:before="0" w:line="480" w:lineRule="auto"/>
        <w:ind w:firstLine="720"/>
        <w:jc w:val="left"/>
      </w:pPr>
      <w:r>
        <w:rPr>
          <w:rFonts w:ascii="Times New Roman" w:cs="Times New Roman" w:eastAsia="Times New Roman" w:hAnsi="Times New Roman"/>
          <w:sz w:val="24"/>
          <w:szCs w:val="24"/>
        </w:rPr>
        <w:t xml:space="preserve">Anil Dash’s professional approach establishes systems that are accessible, community-focused, and participatory. He places a strong emphasis on equity, inclusivity, and openness in both corporate culture and digital tools. Dash actively challenges outmoded conventions and frameworks by creating platforms and workflows that put ethical participation and teamwork first. His work exemplifies how technology may be used to improve social ties, elevate different viewpoints, and guarantee that digital spaces serve the greater public good in addition to efficiency and innovation.</w:t>
      </w:r>
    </w:p>
    <w:p>
      <w:pPr>
        <w:spacing w:after="0" w:before="0" w:line="480" w:lineRule="auto"/>
        <w:ind w:firstLine="720"/>
        <w:jc w:val="left"/>
      </w:pPr>
      <w:r>
        <w:rPr>
          <w:rFonts w:ascii="Times New Roman" w:cs="Times New Roman" w:eastAsia="Times New Roman" w:hAnsi="Times New Roman"/>
          <w:sz w:val="24"/>
          <w:szCs w:val="24"/>
        </w:rPr>
        <w:t xml:space="preserve">The central theme in Sarah Pinsker’s professional philosophy is the fusion of creative resilience and community involvement. She creates stories that delve into adaptation, technology, and human relationships while mentoring and collaborating with fellow writers, nurturing opportunities for emerging talents. Her work embodies a harmony between individual creativity and the development of supportive, resilient literary communities. Pinsker highlights the significance of remaining flexible in an ever-evolving cultural and technological environment. Furthermore, she illustrates how authors can utilize their platforms to narrate captivating stories while reinforcing the wider creative community.</w:t>
      </w:r>
    </w:p>
    <w:p>
      <w:pPr>
        <w:spacing w:after="0" w:before="0" w:line="480" w:lineRule="auto"/>
        <w:ind w:firstLine="720"/>
        <w:jc w:val="left"/>
      </w:pPr>
      <w:r>
        <w:rPr>
          <w:rFonts w:ascii="Times New Roman" w:cs="Times New Roman" w:eastAsia="Times New Roman" w:hAnsi="Times New Roman"/>
          <w:sz w:val="24"/>
          <w:szCs w:val="24"/>
        </w:rPr>
        <w:t xml:space="preserve">The central theme in Janet Varney’s professional methodology is the nurturing of a creative community through teamwork. She prioritizes inclusivity, mentorship, and collective creativity, exemplified in her co-founding of SF Sketchfest and her various acting and producing endeavors, creating spaces where diverse perspectives can flourish. Varney’s spirit of collaboration is evident in her podcasts and other media initiatives, where she invites guests and audiences to participate in meaningful conversations. Her methodology underscores the significance of a shared mission and support systems in promoting innovation and representation within the entertainment sector.</w:t>
      </w:r>
    </w:p>
    <w:p>
      <w:pPr>
        <w:spacing w:after="0" w:before="0" w:line="480" w:lineRule="auto"/>
        <w:ind w:firstLine="720"/>
        <w:jc w:val="left"/>
      </w:pPr>
      <w:r>
        <w:rPr>
          <w:rFonts w:ascii="Times New Roman" w:cs="Times New Roman" w:eastAsia="Times New Roman" w:hAnsi="Times New Roman"/>
          <w:sz w:val="24"/>
          <w:szCs w:val="24"/>
        </w:rPr>
        <w:t xml:space="preserve">The central theme in Phoebe Judge’s work is the combination of empathetic storytelling and thorough journalistic practices. Through her productions on </w:t>
      </w:r>
      <w:r>
        <w:rPr>
          <w:rFonts w:ascii="Times New Roman" w:cs="Times New Roman" w:eastAsia="Times New Roman" w:hAnsi="Times New Roman"/>
          <w:i/>
          <w:iCs/>
          <w:sz w:val="24"/>
          <w:szCs w:val="24"/>
        </w:rPr>
        <w:t xml:space="preserve">Criminal</w:t>
      </w:r>
      <w:r>
        <w:rPr>
          <w:rFonts w:ascii="Times New Roman" w:cs="Times New Roman" w:eastAsia="Times New Roman" w:hAnsi="Times New Roman"/>
          <w:sz w:val="24"/>
          <w:szCs w:val="24"/>
        </w:rPr>
        <w:t xml:space="preserve"> and </w:t>
      </w:r>
      <w:r>
        <w:rPr>
          <w:rFonts w:ascii="Times New Roman" w:cs="Times New Roman" w:eastAsia="Times New Roman" w:hAnsi="Times New Roman"/>
          <w:i/>
          <w:iCs/>
          <w:sz w:val="24"/>
          <w:szCs w:val="24"/>
        </w:rPr>
        <w:t xml:space="preserve">This Is Love</w:t>
      </w:r>
      <w:r>
        <w:rPr>
          <w:rFonts w:ascii="Times New Roman" w:cs="Times New Roman" w:eastAsia="Times New Roman" w:hAnsi="Times New Roman"/>
          <w:sz w:val="24"/>
          <w:szCs w:val="24"/>
        </w:rPr>
        <w:t xml:space="preserve">, Judge highlights the importance of genuine curiosity, active listening, and emotional awareness, promoting authentic connections with intricate human narratives. Her methodology merges in-depth research, narrative skill, and ethical mindfulness, establishing a podcasting framework that balances factual precision with meaningful human connections. By fostering environments built on trust and respect, she illustrates how media can both educate and enhance understanding, showcasing the ability of audio journalism to humanize a wide range of stories while upholding journalistic standards.</w:t>
      </w:r>
    </w:p>
    <w:p>
      <w:pPr>
        <w:spacing w:after="0" w:before="0" w:line="480" w:lineRule="auto"/>
        <w:ind w:firstLine="720"/>
        <w:jc w:val="left"/>
      </w:pPr>
      <w:r>
        <w:rPr>
          <w:rFonts w:ascii="Times New Roman" w:cs="Times New Roman" w:eastAsia="Times New Roman" w:hAnsi="Times New Roman"/>
          <w:sz w:val="24"/>
          <w:szCs w:val="24"/>
        </w:rPr>
        <w:t xml:space="preserve">The prevailing theme in Benjamin Ho’s work is the importance of trust in both economic and social interactions. He examines how trust enables cooperation and exchange, influencing both personal relationships and institutional frameworks. Using his interdisciplinary background, Ho highlights that grasping and fostering trust is crucial for promoting effective economic activities and the smooth operation of society.</w:t>
      </w:r>
    </w:p>
    <w:p>
      <w:pPr>
        <w:spacing w:after="0" w:before="0" w:line="480" w:lineRule="auto"/>
        <w:ind w:firstLine="720"/>
        <w:jc w:val="left"/>
      </w:pPr>
      <w:r>
        <w:rPr>
          <w:rFonts w:ascii="Times New Roman" w:cs="Times New Roman" w:eastAsia="Times New Roman" w:hAnsi="Times New Roman"/>
          <w:sz w:val="24"/>
          <w:szCs w:val="24"/>
        </w:rPr>
        <w:t xml:space="preserve">The themes of intentional organization, strategic use of tools, blended identities, creative pressure, and curated input show how media professionals maintain productivity and stay relevant in a rapidly changing digital landscape. These interviews not only share individual strategies but also reflect broader cultural shifts in how work, identity, and technology come together in modern media careers. The results emphasize the importance of exploring how media workers manage the balance between visibility and sustainability, as well as autonomy and external expectations.</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Douglas, N. (2025c, June 9). </w:t>
      </w:r>
      <w:r>
        <w:rPr>
          <w:rFonts w:ascii="Times New Roman" w:cs="Times New Roman" w:eastAsia="Times New Roman" w:hAnsi="Times New Roman"/>
          <w:i/>
          <w:iCs/>
          <w:sz w:val="24"/>
          <w:szCs w:val="24"/>
        </w:rPr>
        <w:t xml:space="preserve">The best “how I work” interviews of 2019</w:t>
      </w:r>
      <w:r>
        <w:rPr>
          <w:rFonts w:ascii="Times New Roman" w:cs="Times New Roman" w:eastAsia="Times New Roman" w:hAnsi="Times New Roman"/>
          <w:sz w:val="24"/>
          <w:szCs w:val="24"/>
        </w:rPr>
        <w:t xml:space="preserve">. Lifehacker. https://lifehacker.com/the-best-how-i-work-interviews-of-2019-1840662098</w:t>
      </w:r>
    </w:p>
    <w:p>
      <w:pPr>
        <w:spacing w:after="0" w:before="0" w:line="480" w:lineRule="auto"/>
        <w:ind w:left="720" w:hanging="720"/>
        <w:jc w:val="left"/>
      </w:pPr>
      <w:r>
        <w:rPr>
          <w:rFonts w:ascii="Times New Roman" w:cs="Times New Roman" w:eastAsia="Times New Roman" w:hAnsi="Times New Roman"/>
          <w:sz w:val="24"/>
          <w:szCs w:val="24"/>
        </w:rPr>
        <w:t xml:space="preserve">Newport, C. (2016). </w:t>
      </w:r>
      <w:r>
        <w:rPr>
          <w:rFonts w:ascii="Times New Roman" w:cs="Times New Roman" w:eastAsia="Times New Roman" w:hAnsi="Times New Roman"/>
          <w:i/>
          <w:iCs/>
          <w:sz w:val="24"/>
          <w:szCs w:val="24"/>
        </w:rPr>
        <w:t xml:space="preserve">Deep work: Rules for focused success in a distracted world</w:t>
      </w:r>
      <w:r>
        <w:rPr>
          <w:rFonts w:ascii="Times New Roman" w:cs="Times New Roman" w:eastAsia="Times New Roman" w:hAnsi="Times New Roman"/>
          <w:sz w:val="24"/>
          <w:szCs w:val="24"/>
        </w:rPr>
        <w:t xml:space="preserve">. Grand Central Publishing.</w:t>
      </w:r>
    </w:p>
    <w:p>
      <w:pPr>
        <w:spacing w:after="0" w:before="0" w:line="480" w:lineRule="auto"/>
        <w:ind w:left="720" w:hanging="720"/>
        <w:jc w:val="left"/>
      </w:pPr>
      <w:r>
        <w:rPr>
          <w:rFonts w:ascii="Times New Roman" w:cs="Times New Roman" w:eastAsia="Times New Roman" w:hAnsi="Times New Roman"/>
          <w:sz w:val="24"/>
          <w:szCs w:val="24"/>
        </w:rPr>
        <w:t xml:space="preserve">Newport, C. (2019). </w:t>
      </w:r>
      <w:r>
        <w:rPr>
          <w:rFonts w:ascii="Times New Roman" w:cs="Times New Roman" w:eastAsia="Times New Roman" w:hAnsi="Times New Roman"/>
          <w:i/>
          <w:iCs/>
          <w:sz w:val="24"/>
          <w:szCs w:val="24"/>
        </w:rPr>
        <w:t xml:space="preserve">Digital minimalism: Choosing a focused life in a noisy world</w:t>
      </w:r>
      <w:r>
        <w:rPr>
          <w:rFonts w:ascii="Times New Roman" w:cs="Times New Roman" w:eastAsia="Times New Roman" w:hAnsi="Times New Roman"/>
          <w:sz w:val="24"/>
          <w:szCs w:val="24"/>
        </w:rPr>
        <w:t xml:space="preserve">. Portfolio.</w:t>
      </w:r>
    </w:p>
    <w:p>
      <w:pPr>
        <w:spacing w:after="0" w:before="0" w:line="480" w:lineRule="auto"/>
        <w:ind w:left="720" w:hanging="720"/>
        <w:jc w:val="left"/>
      </w:pPr>
      <w:r>
        <w:rPr>
          <w:rFonts w:ascii="Times New Roman" w:cs="Times New Roman" w:eastAsia="Times New Roman" w:hAnsi="Times New Roman"/>
          <w:sz w:val="24"/>
          <w:szCs w:val="24"/>
        </w:rPr>
        <w:t xml:space="preserve">Ryan, R. M., &amp; Deci, E. L. (2000). Self-determination theory and the facilitation of intrinsic motivation, social development, and well-being. </w:t>
      </w:r>
      <w:r>
        <w:rPr>
          <w:rFonts w:ascii="Times New Roman" w:cs="Times New Roman" w:eastAsia="Times New Roman" w:hAnsi="Times New Roman"/>
          <w:i/>
          <w:iCs/>
          <w:sz w:val="24"/>
          <w:szCs w:val="24"/>
        </w:rPr>
        <w:t xml:space="preserve">American Psychologist, 55</w:t>
      </w:r>
      <w:r>
        <w:rPr>
          <w:rFonts w:ascii="Times New Roman" w:cs="Times New Roman" w:eastAsia="Times New Roman" w:hAnsi="Times New Roman"/>
          <w:sz w:val="24"/>
          <w:szCs w:val="24"/>
        </w:rPr>
        <w:t xml:space="preserve">(1), 68–78. https://doi.org/10.1037/0003-066X.55.1.68</w:t>
      </w:r>
    </w:p>
    <w:p>
      <w:pPr>
        <w:spacing w:after="0" w:before="0" w:line="480" w:lineRule="auto"/>
        <w:ind w:left="720" w:hanging="720"/>
        <w:jc w:val="left"/>
      </w:pPr>
      <w:r>
        <w:rPr>
          <w:rFonts w:ascii="Times New Roman" w:cs="Times New Roman" w:eastAsia="Times New Roman" w:hAnsi="Times New Roman"/>
          <w:sz w:val="24"/>
          <w:szCs w:val="24"/>
        </w:rPr>
        <w:t xml:space="preserve">Senge, P. M. (1990). </w:t>
      </w:r>
      <w:r>
        <w:rPr>
          <w:rFonts w:ascii="Times New Roman" w:cs="Times New Roman" w:eastAsia="Times New Roman" w:hAnsi="Times New Roman"/>
          <w:i/>
          <w:iCs/>
          <w:sz w:val="24"/>
          <w:szCs w:val="24"/>
        </w:rPr>
        <w:t xml:space="preserve">The fifth discipline: The art and practice of the learning organization</w:t>
      </w:r>
      <w:r>
        <w:rPr>
          <w:rFonts w:ascii="Times New Roman" w:cs="Times New Roman" w:eastAsia="Times New Roman" w:hAnsi="Times New Roman"/>
          <w:sz w:val="24"/>
          <w:szCs w:val="24"/>
        </w:rPr>
        <w:t xml:space="preserve">. Doubleday.</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2026-08-07T13:12:07.425Z</dcterms:created>
  <dcterms:modified xsi:type="dcterms:W3CDTF">2026-08-07T13:12:07.443Z</dcterms:modified>
</cp:coreProperties>
</file>

<file path=docProps/custom.xml><?xml version="1.0" encoding="utf-8"?>
<Properties xmlns="http://schemas.openxmlformats.org/officeDocument/2006/custom-properties" xmlns:vt="http://schemas.openxmlformats.org/officeDocument/2006/docPropsVTypes"/>
</file>