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bCs/>
          <w:sz w:val="24"/>
          <w:szCs w:val="24"/>
        </w:rPr>
        <w:t xml:space="preserve">Analyzing the Pearson Initiative Through</w:t>
      </w:r>
    </w:p>
    <w:p>
      <w:pPr>
        <w:spacing w:after="0" w:before="0" w:line="480" w:lineRule="auto"/>
        <w:jc w:val="center"/>
      </w:pPr>
      <w:r>
        <w:rPr>
          <w:rFonts w:ascii="Times New Roman" w:cs="Times New Roman" w:eastAsia="Times New Roman" w:hAnsi="Times New Roman"/>
          <w:b/>
          <w:bCs/>
          <w:sz w:val="24"/>
          <w:szCs w:val="24"/>
        </w:rPr>
        <w:t xml:space="preserve">Three Educational Paradigms</w:t>
      </w:r>
    </w:p>
    <w:p>
      <w:pPr>
        <w:spacing w:after="0" w:before="0" w:line="480" w:lineRule="auto"/>
      </w:pPr>
      <w:r>
        <w:rPr>
          <w:rFonts w:ascii="Times New Roman" w:cs="Times New Roman" w:eastAsia="Times New Roman" w:hAnsi="Times New Roman"/>
          <w:sz w:val="24"/>
          <w:szCs w:val="24"/>
        </w:rPr>
        <w:t xml:space="preserve"/>
      </w:r>
    </w:p>
    <w:p>
      <w:pPr>
        <w:spacing w:after="0" w:before="0" w:line="480" w:lineRule="auto"/>
        <w:jc w:val="center"/>
      </w:pPr>
      <w:r>
        <w:rPr>
          <w:rFonts w:ascii="Times New Roman" w:cs="Times New Roman" w:eastAsia="Times New Roman" w:hAnsi="Times New Roman"/>
          <w:b w:val="false"/>
          <w:bCs w:val="false"/>
          <w:sz w:val="24"/>
          <w:szCs w:val="24"/>
        </w:rPr>
        <w:t xml:space="preserve">Elizabeth Elie</w:t>
      </w:r>
    </w:p>
    <w:p>
      <w:pPr>
        <w:spacing w:after="0" w:before="0" w:line="480" w:lineRule="auto"/>
        <w:jc w:val="center"/>
      </w:pPr>
      <w:r>
        <w:rPr>
          <w:rFonts w:ascii="Times New Roman" w:cs="Times New Roman" w:eastAsia="Times New Roman" w:hAnsi="Times New Roman"/>
          <w:b w:val="false"/>
          <w:bCs w:val="false"/>
          <w:sz w:val="24"/>
          <w:szCs w:val="24"/>
        </w:rPr>
        <w:t xml:space="preserve">Department of Educational Technology, New Jersey City University</w:t>
      </w:r>
    </w:p>
    <w:p>
      <w:pPr>
        <w:spacing w:after="0" w:before="0" w:line="480" w:lineRule="auto"/>
        <w:jc w:val="center"/>
      </w:pPr>
      <w:r>
        <w:rPr>
          <w:rFonts w:ascii="Times New Roman" w:cs="Times New Roman" w:eastAsia="Times New Roman" w:hAnsi="Times New Roman"/>
          <w:b w:val="false"/>
          <w:bCs w:val="false"/>
          <w:sz w:val="24"/>
          <w:szCs w:val="24"/>
        </w:rPr>
        <w:t xml:space="preserve">EDTC 8041792: Global Issues in Educational Technology Leadership</w:t>
      </w:r>
    </w:p>
    <w:p>
      <w:pPr>
        <w:spacing w:after="0" w:before="0" w:line="480" w:lineRule="auto"/>
        <w:jc w:val="center"/>
      </w:pPr>
      <w:r>
        <w:rPr>
          <w:rFonts w:ascii="Times New Roman" w:cs="Times New Roman" w:eastAsia="Times New Roman" w:hAnsi="Times New Roman"/>
          <w:b w:val="false"/>
          <w:bCs w:val="false"/>
          <w:sz w:val="24"/>
          <w:szCs w:val="24"/>
        </w:rPr>
        <w:t xml:space="preserve">Dr. Christopher Shamburg</w:t>
      </w:r>
    </w:p>
    <w:p>
      <w:pPr>
        <w:spacing w:after="0" w:before="0" w:line="480" w:lineRule="auto"/>
        <w:jc w:val="center"/>
      </w:pPr>
      <w:r>
        <w:rPr>
          <w:rFonts w:ascii="Times New Roman" w:cs="Times New Roman" w:eastAsia="Times New Roman" w:hAnsi="Times New Roman"/>
          <w:b w:val="false"/>
          <w:bCs w:val="false"/>
          <w:sz w:val="24"/>
          <w:szCs w:val="24"/>
        </w:rPr>
        <w:t xml:space="preserve">September 28, 2025</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Analyzing the Pearson Initiative Through</w:t>
      </w:r>
    </w:p>
    <w:p>
      <w:pPr>
        <w:spacing w:after="0" w:before="0" w:line="480" w:lineRule="auto"/>
        <w:jc w:val="center"/>
      </w:pPr>
      <w:r>
        <w:rPr>
          <w:rFonts w:ascii="Times New Roman" w:cs="Times New Roman" w:eastAsia="Times New Roman" w:hAnsi="Times New Roman"/>
          <w:b/>
          <w:bCs/>
          <w:sz w:val="24"/>
          <w:szCs w:val="24"/>
        </w:rPr>
        <w:t xml:space="preserve">Three Educational Paradigms</w:t>
      </w:r>
    </w:p>
    <w:p>
      <w:pPr>
        <w:spacing w:after="0" w:before="0" w:line="480" w:lineRule="auto"/>
        <w:ind w:firstLine="720"/>
        <w:jc w:val="left"/>
      </w:pPr>
      <w:r>
        <w:rPr>
          <w:rFonts w:ascii="Times New Roman" w:cs="Times New Roman" w:eastAsia="Times New Roman" w:hAnsi="Times New Roman"/>
          <w:sz w:val="24"/>
          <w:szCs w:val="24"/>
        </w:rPr>
        <w:t xml:space="preserve">The Pearson Initiative, as described by Kamenetz (2016), is a substantial convergence between economic interests and education policy. The program seeks to standardize and enhance worldwide education systems by working with governments and educational systems in partnership with Pearson, a multinational organization. This is mostly achieved by combining technology, assessment, and curriculum creation. This essay will analyze how the Pearson Initiative might be regarded within three of McCowan’s (2015) paradigms—Liberal Capitalist, Marxist, and Postcolonial—highlighting the varied critiques and insights each perspective brings.</w:t>
      </w:r>
    </w:p>
    <w:p>
      <w:pPr>
        <w:spacing w:after="0" w:before="0" w:line="480" w:lineRule="auto"/>
        <w:jc w:val="left"/>
      </w:pPr>
      <w:r>
        <w:rPr>
          <w:rFonts w:ascii="Times New Roman" w:cs="Times New Roman" w:eastAsia="Times New Roman" w:hAnsi="Times New Roman"/>
          <w:b/>
          <w:bCs/>
          <w:sz w:val="24"/>
          <w:szCs w:val="24"/>
        </w:rPr>
        <w:t xml:space="preserve">A Liberal Capitalist Viewpoint</w:t>
      </w:r>
    </w:p>
    <w:p>
      <w:pPr>
        <w:spacing w:after="0" w:before="0" w:line="480" w:lineRule="auto"/>
        <w:ind w:firstLine="720"/>
        <w:jc w:val="left"/>
      </w:pPr>
      <w:r>
        <w:rPr>
          <w:rFonts w:ascii="Times New Roman" w:cs="Times New Roman" w:eastAsia="Times New Roman" w:hAnsi="Times New Roman"/>
          <w:sz w:val="24"/>
          <w:szCs w:val="24"/>
        </w:rPr>
        <w:t xml:space="preserve">The liberal capitalist paradigm places a strong emphasis on competition, market-driven efficiency, and the application of business ideas to a variety of fields, including education. According to this viewpoint, market forces can improve quality by encouraging innovation and responsibility, and it generally supports the privatization of education (McCowan, 2015). This position is closely related to what is more commonly termed the neoliberal perspective, which extends market logic into public services and treats competition, choice, and measurable performance as the mechanisms most likely to raise educational quality. The two labels describe substantially the same commitments, and the neoliberal framing is the one most often used when the argument is applied to education policy at a global scale.</w:t>
      </w:r>
    </w:p>
    <w:p>
      <w:pPr>
        <w:spacing w:after="0" w:before="0" w:line="480" w:lineRule="auto"/>
        <w:ind w:firstLine="720"/>
        <w:jc w:val="left"/>
      </w:pPr>
      <w:r>
        <w:rPr>
          <w:rFonts w:ascii="Times New Roman" w:cs="Times New Roman" w:eastAsia="Times New Roman" w:hAnsi="Times New Roman"/>
          <w:sz w:val="24"/>
          <w:szCs w:val="24"/>
        </w:rPr>
        <w:t xml:space="preserve">According to this perspective, Pearson’s contributions to education are generally constructive. Being a for-profit company, Pearson’s support of digital learning resources, standardized testing, and data-driven policy is consistent with the liberal capitalist philosophy’s emphasis on effectiveness and quantifiable results.</w:t>
      </w:r>
    </w:p>
    <w:p>
      <w:pPr>
        <w:spacing w:after="0" w:before="0" w:line="480" w:lineRule="auto"/>
        <w:ind w:firstLine="720"/>
        <w:jc w:val="left"/>
      </w:pPr>
      <w:r>
        <w:rPr>
          <w:rFonts w:ascii="Times New Roman" w:cs="Times New Roman" w:eastAsia="Times New Roman" w:hAnsi="Times New Roman"/>
          <w:sz w:val="24"/>
          <w:szCs w:val="24"/>
        </w:rPr>
        <w:t xml:space="preserve">According to Kamenetz (2016), Pearson has collaborated with governments and academic institutions to develop products that use technology and standardized tests to enhance educational outcomes. This model’s proponents contend that these innovations are required to satisfy the changing needs of a multinational workforce, and Pearson’s extensive participation provides a workable answer to these problems. The Pearson Initiative is viewed in this light as a way to develop more scalable, consistent, and successful educational systems that meet the needs of the twenty-first century.</w:t>
      </w:r>
    </w:p>
    <w:p>
      <w:pPr>
        <w:spacing w:after="0" w:before="0" w:line="480" w:lineRule="auto"/>
        <w:ind w:firstLine="720"/>
        <w:jc w:val="left"/>
      </w:pPr>
      <w:r>
        <w:rPr>
          <w:rFonts w:ascii="Times New Roman" w:cs="Times New Roman" w:eastAsia="Times New Roman" w:hAnsi="Times New Roman"/>
          <w:sz w:val="24"/>
          <w:szCs w:val="24"/>
        </w:rPr>
        <w:t xml:space="preserve">Critics contend that the emphasis on profit and the incorporation of corporate interests into public education can compromise the larger educational goal, even as the liberal capitalist viewpoint praises the potential for efficiency and creativity (McCowan, 2015). It is unclear who will actually benefit from such reforms given the Pearson Initiative’s focus on standardized testing and its proprietary control over instructional materials, which may put corporate interests ahead of pedagogical considerations.</w:t>
      </w:r>
    </w:p>
    <w:p>
      <w:pPr>
        <w:spacing w:after="0" w:before="0" w:line="480" w:lineRule="auto"/>
        <w:jc w:val="left"/>
      </w:pPr>
      <w:r>
        <w:rPr>
          <w:rFonts w:ascii="Times New Roman" w:cs="Times New Roman" w:eastAsia="Times New Roman" w:hAnsi="Times New Roman"/>
          <w:b/>
          <w:bCs/>
          <w:sz w:val="24"/>
          <w:szCs w:val="24"/>
        </w:rPr>
        <w:t xml:space="preserve">A Marxist Viewpoint</w:t>
      </w:r>
    </w:p>
    <w:p>
      <w:pPr>
        <w:spacing w:after="0" w:before="0" w:line="480" w:lineRule="auto"/>
        <w:ind w:firstLine="720"/>
        <w:jc w:val="left"/>
      </w:pPr>
      <w:r>
        <w:rPr>
          <w:rFonts w:ascii="Times New Roman" w:cs="Times New Roman" w:eastAsia="Times New Roman" w:hAnsi="Times New Roman"/>
          <w:sz w:val="24"/>
          <w:szCs w:val="24"/>
        </w:rPr>
        <w:t xml:space="preserve">The Marxist viewpoint sees education as a means of upholding current social inequalities and perpetuating capitalist ideas, in opposition to the liberal capitalist paradigm (McCowan, 2015). This perspective holds that Pearson’s dominance in international education markets serves to further solidify capitalist power and profit in addition to enhancing quality. Pearson is perceived as attempting to commodify education and turn it into a service motivated by commercial interests rather than intellectual or social empowerment by expanding into educational systems across the globe, especially through its standardized testing and learning platforms.</w:t>
      </w:r>
    </w:p>
    <w:p>
      <w:pPr>
        <w:spacing w:after="0" w:before="0" w:line="480" w:lineRule="auto"/>
        <w:ind w:firstLine="720"/>
        <w:jc w:val="left"/>
      </w:pPr>
      <w:r>
        <w:rPr>
          <w:rFonts w:ascii="Times New Roman" w:cs="Times New Roman" w:eastAsia="Times New Roman" w:hAnsi="Times New Roman"/>
          <w:sz w:val="24"/>
          <w:szCs w:val="24"/>
        </w:rPr>
        <w:t xml:space="preserve">According to Marxist theory, Pearson’s initiative might help perpetuate class disparities. Pearson is charged with promoting a limited, utilitarian vision of education by encouraging standardized testing and homogeneous curricula, which restricts students’ potential for creativity and critical thinking. Furthermore, Pearson’s marketing strategy reinforces capitalist ideas by framing education as a commodity to be consumed rather than a means of achieving social or personal emancipation (McCowan, 2015).</w:t>
      </w:r>
    </w:p>
    <w:p>
      <w:pPr>
        <w:spacing w:after="0" w:before="0" w:line="480" w:lineRule="auto"/>
        <w:ind w:firstLine="720"/>
        <w:jc w:val="left"/>
      </w:pPr>
      <w:r>
        <w:rPr>
          <w:rFonts w:ascii="Times New Roman" w:cs="Times New Roman" w:eastAsia="Times New Roman" w:hAnsi="Times New Roman"/>
          <w:sz w:val="24"/>
          <w:szCs w:val="24"/>
        </w:rPr>
        <w:t xml:space="preserve">Marxist critics would contend that Pearson’s global presence is a component of a larger neoliberal strategy that puts profit ahead of the creation of inclusive, democratic, and egalitarian educational systems. Concerns that Pearson’s influence on educational policies may ultimately benefit the wealthy elite while further marginalizing working-class and economically disadvantaged children are echoed in this criticism (Kamenetz, 2016).</w:t>
      </w:r>
    </w:p>
    <w:p>
      <w:pPr>
        <w:spacing w:after="0" w:before="0" w:line="480" w:lineRule="auto"/>
        <w:jc w:val="left"/>
      </w:pPr>
      <w:r>
        <w:rPr>
          <w:rFonts w:ascii="Times New Roman" w:cs="Times New Roman" w:eastAsia="Times New Roman" w:hAnsi="Times New Roman"/>
          <w:b/>
          <w:bCs/>
          <w:sz w:val="24"/>
          <w:szCs w:val="24"/>
        </w:rPr>
        <w:t xml:space="preserve">A Postcolonial Viewpoint</w:t>
      </w:r>
    </w:p>
    <w:p>
      <w:pPr>
        <w:spacing w:after="0" w:before="0" w:line="480" w:lineRule="auto"/>
        <w:ind w:firstLine="720"/>
        <w:jc w:val="left"/>
      </w:pPr>
      <w:r>
        <w:rPr>
          <w:rFonts w:ascii="Times New Roman" w:cs="Times New Roman" w:eastAsia="Times New Roman" w:hAnsi="Times New Roman"/>
          <w:sz w:val="24"/>
          <w:szCs w:val="24"/>
        </w:rPr>
        <w:t xml:space="preserve">With an emphasis on the ongoing effects of colonialism on international power structures, the postcolonial paradigm challenges the imposition of Western ideals and systems on non-Western cultures (McCowan, 2015). According to this perspective, Pearson’s worldwide educational reforms amount to cultural imperialism. Local cultures, knowledge systems, and pedagogical traditions are thought to be undermined by the company’s attempts to standardize education through a one-size-fits-all approach, especially in the Global South.</w:t>
      </w:r>
    </w:p>
    <w:p>
      <w:pPr>
        <w:spacing w:after="0" w:before="0" w:line="480" w:lineRule="auto"/>
        <w:ind w:firstLine="720"/>
        <w:jc w:val="left"/>
      </w:pPr>
      <w:r>
        <w:rPr>
          <w:rFonts w:ascii="Times New Roman" w:cs="Times New Roman" w:eastAsia="Times New Roman" w:hAnsi="Times New Roman"/>
          <w:sz w:val="24"/>
          <w:szCs w:val="24"/>
        </w:rPr>
        <w:t xml:space="preserve">The Pearson Initiative is charged with sustaining a type of educational neocolonialism because of its focus on standardized testing and courses that frequently mirror Western educational standards (Kamenetz, 2016). Pearson runs the risk of eradicating regional educational customs and bolstering the supremacy of Western powers by advocating that Western educational methods are better and ought to be implemented globally. This criticism draws attention to Pearson’s educational reforms’ wider geopolitical ramifications by arguing that they are a reflection of continuing colonial connections in which former colonies are required to adopt Western standards.</w:t>
      </w:r>
    </w:p>
    <w:p>
      <w:pPr>
        <w:spacing w:after="0" w:before="0" w:line="480" w:lineRule="auto"/>
        <w:ind w:firstLine="720"/>
        <w:jc w:val="left"/>
      </w:pPr>
      <w:r>
        <w:rPr>
          <w:rFonts w:ascii="Times New Roman" w:cs="Times New Roman" w:eastAsia="Times New Roman" w:hAnsi="Times New Roman"/>
          <w:sz w:val="24"/>
          <w:szCs w:val="24"/>
        </w:rPr>
        <w:t xml:space="preserve">The Philippines offers a particularly clear illustration of this dynamic, because the colonial history is not incidental to the case. The country was governed by Spain and then by the United States, and the American colonial administration established an English-medium public school system that remains embedded in Philippine education today. When Pearson entered that market in 2013, partnering with the Ayala Corporation through the Pearson Affordable Learning Fund to create a chain of for-profit Affordable Private Education Centers, it was entering a system whose language of instruction and structure were already shaped by a former colonial power (Riep, 2015).</w:t>
      </w:r>
    </w:p>
    <w:p>
      <w:pPr>
        <w:spacing w:after="0" w:before="0" w:line="480" w:lineRule="auto"/>
        <w:ind w:firstLine="720"/>
        <w:jc w:val="left"/>
      </w:pPr>
      <w:r>
        <w:rPr>
          <w:rFonts w:ascii="Times New Roman" w:cs="Times New Roman" w:eastAsia="Times New Roman" w:hAnsi="Times New Roman"/>
          <w:sz w:val="24"/>
          <w:szCs w:val="24"/>
        </w:rPr>
        <w:t xml:space="preserve">Riep (2015) found that the schools were designed around cost minimization, employing lightly trained teachers and operating from leased commercial space under relaxed government requirements, while the curriculum was aligned to the labor needs of the corporate partner’s own businesses. From a postcolonial standpoint this is the pattern the paradigm predicts: a former colony absorbing an externally designed model of schooling, delivered by a foreign corporation, oriented toward producing workers for global industry rather than toward local knowledge or self-determination. The example demonstrates that the postcolonial critique is not merely theoretical.</w:t>
      </w:r>
    </w:p>
    <w:p>
      <w:pPr>
        <w:spacing w:after="0" w:before="0" w:line="480" w:lineRule="auto"/>
        <w:ind w:firstLine="720"/>
        <w:jc w:val="left"/>
      </w:pPr>
      <w:r>
        <w:rPr>
          <w:rFonts w:ascii="Times New Roman" w:cs="Times New Roman" w:eastAsia="Times New Roman" w:hAnsi="Times New Roman"/>
          <w:sz w:val="24"/>
          <w:szCs w:val="24"/>
        </w:rPr>
        <w:t xml:space="preserve">Furthermore, Pearson’s business model might not consider the distinct social, political, and cultural settings of many locations because it places a higher priority on profitability and scalability. This raises worries that Pearson’s initiatives may reinforce the influence of multinational businesses in educational policy-making, especially in developing nations, hence perpetuating global disparities (McCowan, 2015).</w:t>
      </w:r>
    </w:p>
    <w:p>
      <w:pPr>
        <w:spacing w:after="0" w:before="0" w:line="480" w:lineRule="auto"/>
        <w:jc w:val="left"/>
      </w:pPr>
      <w:r>
        <w:rPr>
          <w:rFonts w:ascii="Times New Roman" w:cs="Times New Roman" w:eastAsia="Times New Roman" w:hAnsi="Times New Roman"/>
          <w:b/>
          <w:bCs/>
          <w:sz w:val="24"/>
          <w:szCs w:val="24"/>
        </w:rPr>
        <w:t xml:space="preserve">Conclusion</w:t>
      </w:r>
    </w:p>
    <w:p>
      <w:pPr>
        <w:spacing w:after="0" w:before="0" w:line="480" w:lineRule="auto"/>
        <w:ind w:firstLine="720"/>
        <w:jc w:val="left"/>
      </w:pPr>
      <w:r>
        <w:rPr>
          <w:rFonts w:ascii="Times New Roman" w:cs="Times New Roman" w:eastAsia="Times New Roman" w:hAnsi="Times New Roman"/>
          <w:sz w:val="24"/>
          <w:szCs w:val="24"/>
        </w:rPr>
        <w:t xml:space="preserve">Through the lens of McCowan’s paradigms, the Pearson Initiative demonstrates the intricate relationship between global power systems, business, and education. Critics claim that it puts corporate interests above students’ needs, yet from a liberal capitalist standpoint it provides a remedy for educational inefficiencies.</w:t>
      </w:r>
    </w:p>
    <w:p>
      <w:pPr>
        <w:spacing w:after="0" w:before="0" w:line="480" w:lineRule="auto"/>
        <w:ind w:firstLine="720"/>
        <w:jc w:val="left"/>
      </w:pPr>
      <w:r>
        <w:rPr>
          <w:rFonts w:ascii="Times New Roman" w:cs="Times New Roman" w:eastAsia="Times New Roman" w:hAnsi="Times New Roman"/>
          <w:sz w:val="24"/>
          <w:szCs w:val="24"/>
        </w:rPr>
        <w:t xml:space="preserve">While the postcolonial viewpoint criticizes Pearson’s imposition of Western norms on diverse educational contexts, a Marxist perspective views Pearson’s role in education as a means of perpetuating class disparities. These divergent opinions demonstrate the complexity of international educational changes and the importance of carefully weighing the social, cultural, and economic effects of business participation in education.</w:t>
      </w:r>
    </w:p>
    <w:p>
      <w:pPr>
        <w:spacing w:after="0" w:before="0" w:line="480" w:lineRule="auto"/>
      </w:pPr>
      <w:r>
        <w:br w:type="page"/>
      </w:r>
    </w:p>
    <w:p>
      <w:pPr>
        <w:spacing w:after="0" w:before="0" w:line="480" w:lineRule="auto"/>
        <w:jc w:val="center"/>
      </w:pPr>
      <w:r>
        <w:rPr>
          <w:rFonts w:ascii="Times New Roman" w:cs="Times New Roman" w:eastAsia="Times New Roman" w:hAnsi="Times New Roman"/>
          <w:b/>
          <w:bCs/>
          <w:sz w:val="24"/>
          <w:szCs w:val="24"/>
        </w:rPr>
        <w:t xml:space="preserve">References</w:t>
      </w:r>
    </w:p>
    <w:p>
      <w:pPr>
        <w:spacing w:after="0" w:before="0" w:line="480" w:lineRule="auto"/>
        <w:ind w:left="720" w:hanging="720"/>
        <w:jc w:val="left"/>
      </w:pPr>
      <w:r>
        <w:rPr>
          <w:rFonts w:ascii="Times New Roman" w:cs="Times New Roman" w:eastAsia="Times New Roman" w:hAnsi="Times New Roman"/>
          <w:sz w:val="24"/>
          <w:szCs w:val="24"/>
        </w:rPr>
        <w:t xml:space="preserve">Kamenetz, A. (2016, April 28). </w:t>
      </w:r>
      <w:r>
        <w:rPr>
          <w:rFonts w:ascii="Times New Roman" w:cs="Times New Roman" w:eastAsia="Times New Roman" w:hAnsi="Times New Roman"/>
          <w:i/>
          <w:iCs/>
          <w:sz w:val="24"/>
          <w:szCs w:val="24"/>
        </w:rPr>
        <w:t xml:space="preserve">The Pearson education empire: How a British company became a global educational powerhouse</w:t>
      </w:r>
      <w:r>
        <w:rPr>
          <w:rFonts w:ascii="Times New Roman" w:cs="Times New Roman" w:eastAsia="Times New Roman" w:hAnsi="Times New Roman"/>
          <w:sz w:val="24"/>
          <w:szCs w:val="24"/>
        </w:rPr>
        <w:t xml:space="preserve">. NPR.</w:t>
      </w:r>
    </w:p>
    <w:p>
      <w:pPr>
        <w:spacing w:after="0" w:before="0" w:line="480" w:lineRule="auto"/>
        <w:ind w:left="720" w:hanging="720"/>
        <w:jc w:val="left"/>
      </w:pPr>
      <w:r>
        <w:rPr>
          <w:rFonts w:ascii="Times New Roman" w:cs="Times New Roman" w:eastAsia="Times New Roman" w:hAnsi="Times New Roman"/>
          <w:sz w:val="24"/>
          <w:szCs w:val="24"/>
        </w:rPr>
        <w:t xml:space="preserve">McCowan, T. (2015). </w:t>
      </w:r>
      <w:r>
        <w:rPr>
          <w:rFonts w:ascii="Times New Roman" w:cs="Times New Roman" w:eastAsia="Times New Roman" w:hAnsi="Times New Roman"/>
          <w:i/>
          <w:iCs/>
          <w:sz w:val="24"/>
          <w:szCs w:val="24"/>
        </w:rPr>
        <w:t xml:space="preserve">Theories of education and development in a global era</w:t>
      </w:r>
      <w:r>
        <w:rPr>
          <w:rFonts w:ascii="Times New Roman" w:cs="Times New Roman" w:eastAsia="Times New Roman" w:hAnsi="Times New Roman"/>
          <w:sz w:val="24"/>
          <w:szCs w:val="24"/>
        </w:rPr>
        <w:t xml:space="preserve">. Oxford University Press.</w:t>
      </w:r>
    </w:p>
    <w:p>
      <w:pPr>
        <w:spacing w:after="0" w:before="0" w:line="480" w:lineRule="auto"/>
        <w:ind w:left="720" w:hanging="720"/>
        <w:jc w:val="left"/>
      </w:pPr>
      <w:r>
        <w:rPr>
          <w:rFonts w:ascii="Times New Roman" w:cs="Times New Roman" w:eastAsia="Times New Roman" w:hAnsi="Times New Roman"/>
          <w:sz w:val="24"/>
          <w:szCs w:val="24"/>
        </w:rPr>
        <w:t xml:space="preserve">Riep, C. B. (2015). </w:t>
      </w:r>
      <w:r>
        <w:rPr>
          <w:rFonts w:ascii="Times New Roman" w:cs="Times New Roman" w:eastAsia="Times New Roman" w:hAnsi="Times New Roman"/>
          <w:i/>
          <w:iCs/>
          <w:sz w:val="24"/>
          <w:szCs w:val="24"/>
        </w:rPr>
        <w:t xml:space="preserve">Corporatised education in the Philippines: Pearson, Ayala Corporation and the emergence of Affordable Private Education Centers (APEC)</w:t>
      </w:r>
      <w:r>
        <w:rPr>
          <w:rFonts w:ascii="Times New Roman" w:cs="Times New Roman" w:eastAsia="Times New Roman" w:hAnsi="Times New Roman"/>
          <w:sz w:val="24"/>
          <w:szCs w:val="24"/>
        </w:rPr>
        <w:t xml:space="preserve">. Education International.</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line="240" w:lineRule="auto"/>
      <w:jc w:val="right"/>
    </w:pPr>
    <w:r>
      <w:rPr>
        <w:rFonts w:ascii="Times New Roman" w:cs="Times New Roman" w:eastAsia="Times New Roman" w:hAnsi="Times New Roman"/>
        <w:sz w:val="24"/>
        <w:szCs w:val="24"/>
      </w:rPr>
      <w:fldChar w:fldCharType="begin"/>
      <w:instrText xml:space="preserve">PAGE</w:instrText>
      <w:fldChar w:fldCharType="separate"/>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after="0" w:before="0" w:line="480"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2026-08-16T04:16:12.484Z</dcterms:created>
  <dcterms:modified xsi:type="dcterms:W3CDTF">2026-08-16T04:16:12.484Z</dcterms:modified>
</cp:coreProperties>
</file>

<file path=docProps/custom.xml><?xml version="1.0" encoding="utf-8"?>
<Properties xmlns="http://schemas.openxmlformats.org/officeDocument/2006/custom-properties" xmlns:vt="http://schemas.openxmlformats.org/officeDocument/2006/docPropsVTypes"/>
</file>