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Progressive Versus Conservative Views in Education:</w:t>
      </w:r>
    </w:p>
    <w:p>
      <w:pPr>
        <w:spacing w:after="0" w:before="0" w:line="480" w:lineRule="auto"/>
        <w:jc w:val="center"/>
      </w:pPr>
      <w:r>
        <w:rPr>
          <w:rFonts w:ascii="Times New Roman" w:cs="Times New Roman" w:eastAsia="Times New Roman" w:hAnsi="Times New Roman"/>
          <w:b/>
          <w:bCs/>
          <w:sz w:val="24"/>
          <w:szCs w:val="24"/>
        </w:rPr>
        <w:t xml:space="preserve">E. D. Hirsch and His Critics</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8071689: Implementation and Evaluation of Curriculum</w:t>
      </w:r>
    </w:p>
    <w:p>
      <w:pPr>
        <w:spacing w:after="0" w:before="0" w:line="480" w:lineRule="auto"/>
        <w:jc w:val="center"/>
      </w:pPr>
      <w:r>
        <w:rPr>
          <w:rFonts w:ascii="Times New Roman" w:cs="Times New Roman" w:eastAsia="Times New Roman" w:hAnsi="Times New Roman"/>
          <w:b w:val="false"/>
          <w:bCs w:val="false"/>
          <w:sz w:val="24"/>
          <w:szCs w:val="24"/>
        </w:rPr>
        <w:t xml:space="preserve">Dr. Dana Mason</w:t>
      </w:r>
    </w:p>
    <w:p>
      <w:pPr>
        <w:spacing w:after="0" w:before="0" w:line="480" w:lineRule="auto"/>
        <w:jc w:val="center"/>
      </w:pPr>
      <w:r>
        <w:rPr>
          <w:rFonts w:ascii="Times New Roman" w:cs="Times New Roman" w:eastAsia="Times New Roman" w:hAnsi="Times New Roman"/>
          <w:b w:val="false"/>
          <w:bCs w:val="false"/>
          <w:sz w:val="24"/>
          <w:szCs w:val="24"/>
        </w:rPr>
        <w:t xml:space="preserve">March 10, 2026</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Progressive Versus Conservative Views in Education:</w:t>
      </w:r>
    </w:p>
    <w:p>
      <w:pPr>
        <w:spacing w:after="0" w:before="0" w:line="480" w:lineRule="auto"/>
        <w:jc w:val="center"/>
      </w:pPr>
      <w:r>
        <w:rPr>
          <w:rFonts w:ascii="Times New Roman" w:cs="Times New Roman" w:eastAsia="Times New Roman" w:hAnsi="Times New Roman"/>
          <w:b/>
          <w:bCs/>
          <w:sz w:val="24"/>
          <w:szCs w:val="24"/>
        </w:rPr>
        <w:t xml:space="preserve">E. D. Hirsch and His Critics</w:t>
      </w:r>
    </w:p>
    <w:p>
      <w:pPr>
        <w:spacing w:after="0" w:before="0" w:line="480" w:lineRule="auto"/>
        <w:ind w:firstLine="720"/>
        <w:jc w:val="left"/>
      </w:pPr>
      <w:r>
        <w:rPr>
          <w:rFonts w:ascii="Times New Roman" w:cs="Times New Roman" w:eastAsia="Times New Roman" w:hAnsi="Times New Roman"/>
          <w:sz w:val="24"/>
          <w:szCs w:val="24"/>
        </w:rPr>
        <w:t xml:space="preserve">The chart below sets E. D. Hirsch’s case for a shared core curriculum against the progressive tradition, issue by issue. The left column names the issue, the center column states Hirsch’s position, and the right column presents the counterargument from a specific opposing theorist rather than from progressive thought in general.</w:t>
      </w:r>
    </w:p>
    <w:p>
      <w:pPr>
        <w:spacing w:after="120" w:before="0" w:line="240" w:lineRule="auto"/>
      </w:pPr>
      <w:r>
        <w:rPr>
          <w:rFonts w:ascii="Times New Roman" w:cs="Times New Roman" w:eastAsia="Times New Roman" w:hAnsi="Times New Roman"/>
          <w:sz w:val="24"/>
          <w:szCs w:val="24"/>
        </w:rPr>
        <w:t xml:space="preserve"/>
      </w:r>
    </w:p>
    <w:p>
      <w:pPr>
        <w:spacing w:after="60" w:before="0" w:line="240" w:lineRule="auto"/>
      </w:pPr>
      <w:r>
        <w:rPr>
          <w:rFonts w:ascii="Times New Roman" w:cs="Times New Roman" w:eastAsia="Times New Roman" w:hAnsi="Times New Roman"/>
          <w:b/>
          <w:bCs/>
          <w:sz w:val="24"/>
          <w:szCs w:val="24"/>
        </w:rPr>
        <w:t xml:space="preserve">Table 1</w:t>
      </w:r>
    </w:p>
    <w:p>
      <w:pPr>
        <w:spacing w:after="120" w:before="0" w:line="240" w:lineRule="auto"/>
      </w:pPr>
      <w:r>
        <w:rPr>
          <w:rFonts w:ascii="Times New Roman" w:cs="Times New Roman" w:eastAsia="Times New Roman" w:hAnsi="Times New Roman"/>
          <w:i/>
          <w:iCs/>
          <w:sz w:val="24"/>
          <w:szCs w:val="24"/>
        </w:rPr>
        <w:t xml:space="preserve">Conservative and Progressive Positions on Eight Issues in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3730"/>
        <w:gridCol w:w="3730"/>
      </w:tblGrid>
      <w:tr>
        <w:trPr>
          <w:tblHeader/>
        </w:trPr>
        <w:tc>
          <w:tcPr>
            <w:tcW w:type="dxa" w:w="1900"/>
            <w:tcBorders>
              <w:top w:val="single" w:color="000000" w:sz="4"/>
              <w:left w:val="single" w:color="000000" w:sz="4"/>
              <w:bottom w:val="single" w:color="000000" w:sz="4"/>
              <w:right w:val="single" w:color="000000" w:sz="4"/>
            </w:tcBorders>
            <w:shd w:fill="EFEFEF" w:val="clear"/>
            <w:tcMar>
              <w:top w:type="dxa" w:w="70"/>
              <w:left w:type="dxa" w:w="90"/>
              <w:bottom w:type="dxa" w:w="70"/>
              <w:right w:type="dxa" w:w="90"/>
            </w:tcMar>
          </w:tcPr>
          <w:p>
            <w:pPr>
              <w:spacing w:after="40" w:before="40" w:line="276" w:lineRule="auto"/>
              <w:jc w:val="center"/>
            </w:pPr>
            <w:r>
              <w:rPr>
                <w:rFonts w:ascii="Times New Roman" w:cs="Times New Roman" w:eastAsia="Times New Roman" w:hAnsi="Times New Roman"/>
                <w:b/>
                <w:bCs/>
                <w:sz w:val="20"/>
                <w:szCs w:val="20"/>
              </w:rPr>
              <w:t xml:space="preserve">Issue</w:t>
            </w:r>
          </w:p>
        </w:tc>
        <w:tc>
          <w:tcPr>
            <w:tcW w:type="dxa" w:w="3730"/>
            <w:tcBorders>
              <w:top w:val="single" w:color="000000" w:sz="4"/>
              <w:left w:val="single" w:color="000000" w:sz="4"/>
              <w:bottom w:val="single" w:color="000000" w:sz="4"/>
              <w:right w:val="single" w:color="000000" w:sz="4"/>
            </w:tcBorders>
            <w:shd w:fill="EFEFEF" w:val="clear"/>
            <w:tcMar>
              <w:top w:type="dxa" w:w="70"/>
              <w:left w:type="dxa" w:w="90"/>
              <w:bottom w:type="dxa" w:w="70"/>
              <w:right w:type="dxa" w:w="90"/>
            </w:tcMar>
          </w:tcPr>
          <w:p>
            <w:pPr>
              <w:spacing w:after="40" w:before="40" w:line="276" w:lineRule="auto"/>
              <w:jc w:val="center"/>
            </w:pPr>
            <w:r>
              <w:rPr>
                <w:rFonts w:ascii="Times New Roman" w:cs="Times New Roman" w:eastAsia="Times New Roman" w:hAnsi="Times New Roman"/>
                <w:b/>
                <w:bCs/>
                <w:sz w:val="20"/>
                <w:szCs w:val="20"/>
              </w:rPr>
              <w:t xml:space="preserve">E. D. Hirsch’s View (Conservative)</w:t>
            </w:r>
          </w:p>
        </w:tc>
        <w:tc>
          <w:tcPr>
            <w:tcW w:type="dxa" w:w="3730"/>
            <w:tcBorders>
              <w:top w:val="single" w:color="000000" w:sz="4"/>
              <w:left w:val="single" w:color="000000" w:sz="4"/>
              <w:bottom w:val="single" w:color="000000" w:sz="4"/>
              <w:right w:val="single" w:color="000000" w:sz="4"/>
            </w:tcBorders>
            <w:shd w:fill="EFEFEF" w:val="clear"/>
            <w:tcMar>
              <w:top w:type="dxa" w:w="70"/>
              <w:left w:type="dxa" w:w="90"/>
              <w:bottom w:type="dxa" w:w="70"/>
              <w:right w:type="dxa" w:w="90"/>
            </w:tcMar>
          </w:tcPr>
          <w:p>
            <w:pPr>
              <w:spacing w:after="40" w:before="40" w:line="276" w:lineRule="auto"/>
              <w:jc w:val="center"/>
            </w:pPr>
            <w:r>
              <w:rPr>
                <w:rFonts w:ascii="Times New Roman" w:cs="Times New Roman" w:eastAsia="Times New Roman" w:hAnsi="Times New Roman"/>
                <w:b/>
                <w:bCs/>
                <w:sz w:val="20"/>
                <w:szCs w:val="20"/>
              </w:rPr>
              <w:t xml:space="preserve">Argument From Opposing Theorists (Progressive)</w:t>
            </w:r>
          </w:p>
        </w:tc>
      </w:tr>
      <w:tr>
        <w:tc>
          <w:tcPr>
            <w:tcW w:type="dxa" w:w="190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center"/>
            </w:pPr>
            <w:r>
              <w:rPr>
                <w:rFonts w:ascii="Times New Roman" w:cs="Times New Roman" w:eastAsia="Times New Roman" w:hAnsi="Times New Roman"/>
                <w:b/>
                <w:bCs/>
                <w:sz w:val="20"/>
                <w:szCs w:val="20"/>
              </w:rPr>
              <w:t xml:space="preserve">Core Knowledge and Curriculum Content</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sz w:val="20"/>
                <w:szCs w:val="20"/>
              </w:rPr>
              <w:t xml:space="preserve">Hirsch contends that because comprehension relies on prior information most students would not otherwise possess, schools should explicitly teach a cohesive body of knowledge to every student. (Hirsch, 1987)</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b/>
                <w:bCs/>
                <w:sz w:val="20"/>
                <w:szCs w:val="20"/>
              </w:rPr>
              <w:t xml:space="preserve">John Dewey:</w:t>
            </w:r>
            <w:r>
              <w:rPr>
                <w:rFonts w:ascii="Times New Roman" w:cs="Times New Roman" w:eastAsia="Times New Roman" w:hAnsi="Times New Roman"/>
                <w:sz w:val="20"/>
                <w:szCs w:val="20"/>
              </w:rPr>
              <w:t xml:space="preserve"> Progressive education places a strong emphasis on inquiry and experiential learning. Rather than being predetermined as a list of facts, the curriculum should develop from students’ experiences and interests, with more emphasis on purposeful social learning than on strict subject lists. (Dewey, 1938)</w:t>
            </w:r>
          </w:p>
        </w:tc>
      </w:tr>
      <w:tr>
        <w:tc>
          <w:tcPr>
            <w:tcW w:type="dxa" w:w="190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center"/>
            </w:pPr>
            <w:r>
              <w:rPr>
                <w:rFonts w:ascii="Times New Roman" w:cs="Times New Roman" w:eastAsia="Times New Roman" w:hAnsi="Times New Roman"/>
                <w:b/>
                <w:bCs/>
                <w:sz w:val="20"/>
                <w:szCs w:val="20"/>
              </w:rPr>
              <w:t xml:space="preserve">Reading and Background Knowledge</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sz w:val="20"/>
                <w:szCs w:val="20"/>
              </w:rPr>
              <w:t xml:space="preserve">According to Hirsch, students’ ability to make sense of texts depends largely on underlying knowledge that teachers frequently assume they already possess. (Hirsch, 1987)</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b/>
                <w:bCs/>
                <w:sz w:val="20"/>
                <w:szCs w:val="20"/>
              </w:rPr>
              <w:t xml:space="preserve">Lev Vygotsky:</w:t>
            </w:r>
            <w:r>
              <w:rPr>
                <w:rFonts w:ascii="Times New Roman" w:cs="Times New Roman" w:eastAsia="Times New Roman" w:hAnsi="Times New Roman"/>
                <w:sz w:val="20"/>
                <w:szCs w:val="20"/>
              </w:rPr>
              <w:t xml:space="preserve"> Social contact and scaffolding mediate between learning and comprehension. Learners develop meaning through guided language use and interaction with more competent others rather than through prior factual knowledge alone. (Vygotsky, 1978)</w:t>
            </w:r>
          </w:p>
        </w:tc>
      </w:tr>
      <w:tr>
        <w:tc>
          <w:tcPr>
            <w:tcW w:type="dxa" w:w="190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center"/>
            </w:pPr>
            <w:r>
              <w:rPr>
                <w:rFonts w:ascii="Times New Roman" w:cs="Times New Roman" w:eastAsia="Times New Roman" w:hAnsi="Times New Roman"/>
                <w:b/>
                <w:bCs/>
                <w:sz w:val="20"/>
                <w:szCs w:val="20"/>
              </w:rPr>
              <w:t xml:space="preserve">Standardized Testing and Assessment</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sz w:val="20"/>
                <w:szCs w:val="20"/>
              </w:rPr>
              <w:t xml:space="preserve">According to Hirsch, knowledge-based tests are required to confirm that students have mastered fundamental concepts, which promotes equity by locating and filling gaps. (Hirsch, 2016)</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b/>
                <w:bCs/>
                <w:sz w:val="20"/>
                <w:szCs w:val="20"/>
              </w:rPr>
              <w:t xml:space="preserve">John Dewey:</w:t>
            </w:r>
            <w:r>
              <w:rPr>
                <w:rFonts w:ascii="Times New Roman" w:cs="Times New Roman" w:eastAsia="Times New Roman" w:hAnsi="Times New Roman"/>
                <w:sz w:val="20"/>
                <w:szCs w:val="20"/>
              </w:rPr>
              <w:t xml:space="preserve"> Assessment should focus on processes and understanding rather than content recall alone. Performance should show how students think and solve problems, not only what they have memorized. (Dewey, 1938)</w:t>
            </w:r>
          </w:p>
        </w:tc>
      </w:tr>
      <w:tr>
        <w:tc>
          <w:tcPr>
            <w:tcW w:type="dxa" w:w="190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center"/>
            </w:pPr>
            <w:r>
              <w:rPr>
                <w:rFonts w:ascii="Times New Roman" w:cs="Times New Roman" w:eastAsia="Times New Roman" w:hAnsi="Times New Roman"/>
                <w:b/>
                <w:bCs/>
                <w:sz w:val="20"/>
                <w:szCs w:val="20"/>
              </w:rPr>
              <w:t xml:space="preserve">Purpose of Schooling</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sz w:val="20"/>
                <w:szCs w:val="20"/>
              </w:rPr>
              <w:t xml:space="preserve">According to Hirsch, education should provide students with common cultural and civic knowledge so they can fully participate in society, and this shared foundation promotes economic mobility and democratic engagement. (Hirsch, 1987)</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b/>
                <w:bCs/>
                <w:sz w:val="20"/>
                <w:szCs w:val="20"/>
              </w:rPr>
              <w:t xml:space="preserve">John Dewey:</w:t>
            </w:r>
            <w:r>
              <w:rPr>
                <w:rFonts w:ascii="Times New Roman" w:cs="Times New Roman" w:eastAsia="Times New Roman" w:hAnsi="Times New Roman"/>
                <w:sz w:val="20"/>
                <w:szCs w:val="20"/>
              </w:rPr>
              <w:t xml:space="preserve"> The primary purpose of education is to prepare learners for active democratic participation through reflective thought, problem-solving, and social interaction. Education is more than knowledge transmission; it is a process of growth. (Dewey, 1916)</w:t>
            </w:r>
          </w:p>
        </w:tc>
      </w:tr>
      <w:tr>
        <w:tc>
          <w:tcPr>
            <w:tcW w:type="dxa" w:w="190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center"/>
            </w:pPr>
            <w:r>
              <w:rPr>
                <w:rFonts w:ascii="Times New Roman" w:cs="Times New Roman" w:eastAsia="Times New Roman" w:hAnsi="Times New Roman"/>
                <w:b/>
                <w:bCs/>
                <w:sz w:val="20"/>
                <w:szCs w:val="20"/>
              </w:rPr>
              <w:t xml:space="preserve">Curriculum Breadth Versus Depth</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sz w:val="20"/>
                <w:szCs w:val="20"/>
              </w:rPr>
              <w:t xml:space="preserve">Hirsch recommends thorough, sequential coverage of fundamental knowledge so that children build a broad foundation of core content across the elementary and middle grades. (Hirsch, 1996)</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b/>
                <w:bCs/>
                <w:sz w:val="20"/>
                <w:szCs w:val="20"/>
              </w:rPr>
              <w:t xml:space="preserve">John Dewey:</w:t>
            </w:r>
            <w:r>
              <w:rPr>
                <w:rFonts w:ascii="Times New Roman" w:cs="Times New Roman" w:eastAsia="Times New Roman" w:hAnsi="Times New Roman"/>
                <w:sz w:val="20"/>
                <w:szCs w:val="20"/>
              </w:rPr>
              <w:t xml:space="preserve"> Rather than broad but superficial coverage, progressive theory stresses depth, meaningful inquiry, and contextual learning adapted to students’ interests and real-world problems. (Dewey, 1938)</w:t>
            </w:r>
          </w:p>
        </w:tc>
      </w:tr>
      <w:tr>
        <w:tc>
          <w:tcPr>
            <w:tcW w:type="dxa" w:w="190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center"/>
            </w:pPr>
            <w:r>
              <w:rPr>
                <w:rFonts w:ascii="Times New Roman" w:cs="Times New Roman" w:eastAsia="Times New Roman" w:hAnsi="Times New Roman"/>
                <w:b/>
                <w:bCs/>
                <w:sz w:val="20"/>
                <w:szCs w:val="20"/>
              </w:rPr>
              <w:t xml:space="preserve">Teaching Methods</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sz w:val="20"/>
                <w:szCs w:val="20"/>
              </w:rPr>
              <w:t xml:space="preserve">Hirsch favors explicit, teacher-led instruction in core content, in which teachers are responsible for methodically building knowledge rather than relying on discovery alone. (Hirsch, 1996)</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b/>
                <w:bCs/>
                <w:sz w:val="20"/>
                <w:szCs w:val="20"/>
              </w:rPr>
              <w:t xml:space="preserve">Jean Piaget:</w:t>
            </w:r>
            <w:r>
              <w:rPr>
                <w:rFonts w:ascii="Times New Roman" w:cs="Times New Roman" w:eastAsia="Times New Roman" w:hAnsi="Times New Roman"/>
                <w:sz w:val="20"/>
                <w:szCs w:val="20"/>
              </w:rPr>
              <w:t xml:space="preserve"> In cognitive constructivism, children actively create knowledge by interacting with their surroundings. Teachers support understanding by facilitating rather than transmitting facts. (Piaget, 1952)</w:t>
            </w:r>
          </w:p>
        </w:tc>
      </w:tr>
      <w:tr>
        <w:tc>
          <w:tcPr>
            <w:tcW w:type="dxa" w:w="190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center"/>
            </w:pPr>
            <w:r>
              <w:rPr>
                <w:rFonts w:ascii="Times New Roman" w:cs="Times New Roman" w:eastAsia="Times New Roman" w:hAnsi="Times New Roman"/>
                <w:b/>
                <w:bCs/>
                <w:sz w:val="20"/>
                <w:szCs w:val="20"/>
              </w:rPr>
              <w:t xml:space="preserve">Individualization Versus Shared Knowledge</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sz w:val="20"/>
                <w:szCs w:val="20"/>
              </w:rPr>
              <w:t xml:space="preserve">While acknowledging individual variation, Hirsch contends that mutual understanding and full participation in society depend on shared knowledge, which prevents the learning gaps that disadvantage some students. (Hirsch, 2016)</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b/>
                <w:bCs/>
                <w:sz w:val="20"/>
                <w:szCs w:val="20"/>
              </w:rPr>
              <w:t xml:space="preserve">Lev Vygotsky:</w:t>
            </w:r>
            <w:r>
              <w:rPr>
                <w:rFonts w:ascii="Times New Roman" w:cs="Times New Roman" w:eastAsia="Times New Roman" w:hAnsi="Times New Roman"/>
                <w:sz w:val="20"/>
                <w:szCs w:val="20"/>
              </w:rPr>
              <w:t xml:space="preserve"> Learning should be scaffolded according to each student’s zone of proximal development, with a strong emphasis on guided interaction and tailored support within social settings. (Vygotsky, 1978)</w:t>
            </w:r>
          </w:p>
        </w:tc>
      </w:tr>
      <w:tr>
        <w:tc>
          <w:tcPr>
            <w:tcW w:type="dxa" w:w="190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center"/>
            </w:pPr>
            <w:r>
              <w:rPr>
                <w:rFonts w:ascii="Times New Roman" w:cs="Times New Roman" w:eastAsia="Times New Roman" w:hAnsi="Times New Roman"/>
                <w:b/>
                <w:bCs/>
                <w:sz w:val="20"/>
                <w:szCs w:val="20"/>
              </w:rPr>
              <w:t xml:space="preserve">Equity and Access</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sz w:val="20"/>
                <w:szCs w:val="20"/>
              </w:rPr>
              <w:t xml:space="preserve">Hirsch contends that equity is promoted by a shared, content-rich curriculum, particularly for disadvantaged students who may not acquire background knowledge outside school. (Hirsch, 2016)</w:t>
            </w:r>
          </w:p>
        </w:tc>
        <w:tc>
          <w:tcPr>
            <w:tcW w:type="dxa" w:w="3730"/>
            <w:tcBorders>
              <w:top w:val="single" w:color="000000" w:sz="4"/>
              <w:left w:val="single" w:color="000000" w:sz="4"/>
              <w:bottom w:val="single" w:color="000000" w:sz="4"/>
              <w:right w:val="single" w:color="000000" w:sz="4"/>
            </w:tcBorders>
            <w:tcMar>
              <w:top w:type="dxa" w:w="70"/>
              <w:left w:type="dxa" w:w="90"/>
              <w:bottom w:type="dxa" w:w="70"/>
              <w:right w:type="dxa" w:w="90"/>
            </w:tcMar>
          </w:tcPr>
          <w:p>
            <w:pPr>
              <w:spacing w:after="40" w:before="40" w:line="276" w:lineRule="auto"/>
              <w:jc w:val="left"/>
            </w:pPr>
            <w:r>
              <w:rPr>
                <w:rFonts w:ascii="Times New Roman" w:cs="Times New Roman" w:eastAsia="Times New Roman" w:hAnsi="Times New Roman"/>
                <w:b/>
                <w:bCs/>
                <w:sz w:val="20"/>
                <w:szCs w:val="20"/>
              </w:rPr>
              <w:t xml:space="preserve">Paulo Freire:</w:t>
            </w:r>
            <w:r>
              <w:rPr>
                <w:rFonts w:ascii="Times New Roman" w:cs="Times New Roman" w:eastAsia="Times New Roman" w:hAnsi="Times New Roman"/>
                <w:sz w:val="20"/>
                <w:szCs w:val="20"/>
              </w:rPr>
              <w:t xml:space="preserve"> Equity arises from enabling students to question and co-create knowledge rather than from prescribing what everyone should know. Education should equip students to critically examine and transform their world. (Freire, 1970)</w:t>
            </w:r>
          </w:p>
        </w:tc>
      </w:tr>
    </w:tbl>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Dewey, J. (1916). </w:t>
      </w:r>
      <w:r>
        <w:rPr>
          <w:rFonts w:ascii="Times New Roman" w:cs="Times New Roman" w:eastAsia="Times New Roman" w:hAnsi="Times New Roman"/>
          <w:i/>
          <w:iCs/>
          <w:sz w:val="24"/>
          <w:szCs w:val="24"/>
        </w:rPr>
        <w:t xml:space="preserve">Democracy and education</w:t>
      </w:r>
      <w:r>
        <w:rPr>
          <w:rFonts w:ascii="Times New Roman" w:cs="Times New Roman" w:eastAsia="Times New Roman" w:hAnsi="Times New Roman"/>
          <w:sz w:val="24"/>
          <w:szCs w:val="24"/>
        </w:rPr>
        <w:t xml:space="preserve">. Macmillan.</w:t>
      </w:r>
    </w:p>
    <w:p>
      <w:pPr>
        <w:spacing w:after="0" w:before="0" w:line="480" w:lineRule="auto"/>
        <w:ind w:left="720" w:hanging="720"/>
        <w:jc w:val="left"/>
      </w:pPr>
      <w:r>
        <w:rPr>
          <w:rFonts w:ascii="Times New Roman" w:cs="Times New Roman" w:eastAsia="Times New Roman" w:hAnsi="Times New Roman"/>
          <w:sz w:val="24"/>
          <w:szCs w:val="24"/>
        </w:rPr>
        <w:t xml:space="preserve">Dewey, J. (1938). </w:t>
      </w:r>
      <w:r>
        <w:rPr>
          <w:rFonts w:ascii="Times New Roman" w:cs="Times New Roman" w:eastAsia="Times New Roman" w:hAnsi="Times New Roman"/>
          <w:i/>
          <w:iCs/>
          <w:sz w:val="24"/>
          <w:szCs w:val="24"/>
        </w:rPr>
        <w:t xml:space="preserve">Experience and education</w:t>
      </w:r>
      <w:r>
        <w:rPr>
          <w:rFonts w:ascii="Times New Roman" w:cs="Times New Roman" w:eastAsia="Times New Roman" w:hAnsi="Times New Roman"/>
          <w:sz w:val="24"/>
          <w:szCs w:val="24"/>
        </w:rPr>
        <w:t xml:space="preserve">. Kappa Delta Pi.</w:t>
      </w:r>
    </w:p>
    <w:p>
      <w:pPr>
        <w:spacing w:after="0" w:before="0" w:line="480" w:lineRule="auto"/>
        <w:ind w:left="720" w:hanging="720"/>
        <w:jc w:val="left"/>
      </w:pPr>
      <w:r>
        <w:rPr>
          <w:rFonts w:ascii="Times New Roman" w:cs="Times New Roman" w:eastAsia="Times New Roman" w:hAnsi="Times New Roman"/>
          <w:sz w:val="24"/>
          <w:szCs w:val="24"/>
        </w:rPr>
        <w:t xml:space="preserve">Freire, P. (1970). </w:t>
      </w:r>
      <w:r>
        <w:rPr>
          <w:rFonts w:ascii="Times New Roman" w:cs="Times New Roman" w:eastAsia="Times New Roman" w:hAnsi="Times New Roman"/>
          <w:i/>
          <w:iCs/>
          <w:sz w:val="24"/>
          <w:szCs w:val="24"/>
        </w:rPr>
        <w:t xml:space="preserve">Pedagogy of the oppressed</w:t>
      </w:r>
      <w:r>
        <w:rPr>
          <w:rFonts w:ascii="Times New Roman" w:cs="Times New Roman" w:eastAsia="Times New Roman" w:hAnsi="Times New Roman"/>
          <w:sz w:val="24"/>
          <w:szCs w:val="24"/>
        </w:rPr>
        <w:t xml:space="preserve"> (M. B. Ramos, Trans.). Continuum.</w:t>
      </w:r>
    </w:p>
    <w:p>
      <w:pPr>
        <w:spacing w:after="0" w:before="0" w:line="480" w:lineRule="auto"/>
        <w:ind w:left="720" w:hanging="720"/>
        <w:jc w:val="left"/>
      </w:pPr>
      <w:r>
        <w:rPr>
          <w:rFonts w:ascii="Times New Roman" w:cs="Times New Roman" w:eastAsia="Times New Roman" w:hAnsi="Times New Roman"/>
          <w:sz w:val="24"/>
          <w:szCs w:val="24"/>
        </w:rPr>
        <w:t xml:space="preserve">Hirsch, E. D., Jr. (1987). </w:t>
      </w:r>
      <w:r>
        <w:rPr>
          <w:rFonts w:ascii="Times New Roman" w:cs="Times New Roman" w:eastAsia="Times New Roman" w:hAnsi="Times New Roman"/>
          <w:i/>
          <w:iCs/>
          <w:sz w:val="24"/>
          <w:szCs w:val="24"/>
        </w:rPr>
        <w:t xml:space="preserve">Cultural literacy: What every American needs to know</w:t>
      </w:r>
      <w:r>
        <w:rPr>
          <w:rFonts w:ascii="Times New Roman" w:cs="Times New Roman" w:eastAsia="Times New Roman" w:hAnsi="Times New Roman"/>
          <w:sz w:val="24"/>
          <w:szCs w:val="24"/>
        </w:rPr>
        <w:t xml:space="preserve">. Houghton Mifflin.</w:t>
      </w:r>
    </w:p>
    <w:p>
      <w:pPr>
        <w:spacing w:after="0" w:before="0" w:line="480" w:lineRule="auto"/>
        <w:ind w:left="720" w:hanging="720"/>
        <w:jc w:val="left"/>
      </w:pPr>
      <w:r>
        <w:rPr>
          <w:rFonts w:ascii="Times New Roman" w:cs="Times New Roman" w:eastAsia="Times New Roman" w:hAnsi="Times New Roman"/>
          <w:sz w:val="24"/>
          <w:szCs w:val="24"/>
        </w:rPr>
        <w:t xml:space="preserve">Hirsch, E. D., Jr. (1996). </w:t>
      </w:r>
      <w:r>
        <w:rPr>
          <w:rFonts w:ascii="Times New Roman" w:cs="Times New Roman" w:eastAsia="Times New Roman" w:hAnsi="Times New Roman"/>
          <w:i/>
          <w:iCs/>
          <w:sz w:val="24"/>
          <w:szCs w:val="24"/>
        </w:rPr>
        <w:t xml:space="preserve">The schools we need and why we don’t have them</w:t>
      </w:r>
      <w:r>
        <w:rPr>
          <w:rFonts w:ascii="Times New Roman" w:cs="Times New Roman" w:eastAsia="Times New Roman" w:hAnsi="Times New Roman"/>
          <w:sz w:val="24"/>
          <w:szCs w:val="24"/>
        </w:rPr>
        <w:t xml:space="preserve">. Doubleday.</w:t>
      </w:r>
    </w:p>
    <w:p>
      <w:pPr>
        <w:spacing w:after="0" w:before="0" w:line="480" w:lineRule="auto"/>
        <w:ind w:left="720" w:hanging="720"/>
        <w:jc w:val="left"/>
      </w:pPr>
      <w:r>
        <w:rPr>
          <w:rFonts w:ascii="Times New Roman" w:cs="Times New Roman" w:eastAsia="Times New Roman" w:hAnsi="Times New Roman"/>
          <w:sz w:val="24"/>
          <w:szCs w:val="24"/>
        </w:rPr>
        <w:t xml:space="preserve">Hirsch, E. D., Jr. (2016). </w:t>
      </w:r>
      <w:r>
        <w:rPr>
          <w:rFonts w:ascii="Times New Roman" w:cs="Times New Roman" w:eastAsia="Times New Roman" w:hAnsi="Times New Roman"/>
          <w:i/>
          <w:iCs/>
          <w:sz w:val="24"/>
          <w:szCs w:val="24"/>
        </w:rPr>
        <w:t xml:space="preserve">Why knowledge matters: Rescuing our children from failed educational theories</w:t>
      </w:r>
      <w:r>
        <w:rPr>
          <w:rFonts w:ascii="Times New Roman" w:cs="Times New Roman" w:eastAsia="Times New Roman" w:hAnsi="Times New Roman"/>
          <w:sz w:val="24"/>
          <w:szCs w:val="24"/>
        </w:rPr>
        <w:t xml:space="preserve">. Harvard Education Press.</w:t>
      </w:r>
    </w:p>
    <w:p>
      <w:pPr>
        <w:spacing w:after="0" w:before="0" w:line="480" w:lineRule="auto"/>
        <w:ind w:left="720" w:hanging="720"/>
        <w:jc w:val="left"/>
      </w:pPr>
      <w:r>
        <w:rPr>
          <w:rFonts w:ascii="Times New Roman" w:cs="Times New Roman" w:eastAsia="Times New Roman" w:hAnsi="Times New Roman"/>
          <w:sz w:val="24"/>
          <w:szCs w:val="24"/>
        </w:rPr>
        <w:t xml:space="preserve">Piaget, J. (1952). </w:t>
      </w:r>
      <w:r>
        <w:rPr>
          <w:rFonts w:ascii="Times New Roman" w:cs="Times New Roman" w:eastAsia="Times New Roman" w:hAnsi="Times New Roman"/>
          <w:i/>
          <w:iCs/>
          <w:sz w:val="24"/>
          <w:szCs w:val="24"/>
        </w:rPr>
        <w:t xml:space="preserve">The origins of intelligence in children</w:t>
      </w:r>
      <w:r>
        <w:rPr>
          <w:rFonts w:ascii="Times New Roman" w:cs="Times New Roman" w:eastAsia="Times New Roman" w:hAnsi="Times New Roman"/>
          <w:sz w:val="24"/>
          <w:szCs w:val="24"/>
        </w:rPr>
        <w:t xml:space="preserve"> (M. Cook, Trans.). International Universities Press.</w:t>
      </w:r>
    </w:p>
    <w:p>
      <w:pPr>
        <w:spacing w:after="0" w:before="0" w:line="480" w:lineRule="auto"/>
        <w:ind w:left="720" w:hanging="720"/>
        <w:jc w:val="left"/>
      </w:pPr>
      <w:r>
        <w:rPr>
          <w:rFonts w:ascii="Times New Roman" w:cs="Times New Roman" w:eastAsia="Times New Roman" w:hAnsi="Times New Roman"/>
          <w:sz w:val="24"/>
          <w:szCs w:val="24"/>
        </w:rPr>
        <w:t xml:space="preserve">Vygotsky, L. S. (1978). </w:t>
      </w:r>
      <w:r>
        <w:rPr>
          <w:rFonts w:ascii="Times New Roman" w:cs="Times New Roman" w:eastAsia="Times New Roman" w:hAnsi="Times New Roman"/>
          <w:i/>
          <w:iCs/>
          <w:sz w:val="24"/>
          <w:szCs w:val="24"/>
        </w:rPr>
        <w:t xml:space="preserve">Mind in society: The development of higher psychological processes</w:t>
      </w:r>
      <w:r>
        <w:rPr>
          <w:rFonts w:ascii="Times New Roman" w:cs="Times New Roman" w:eastAsia="Times New Roman" w:hAnsi="Times New Roman"/>
          <w:sz w:val="24"/>
          <w:szCs w:val="24"/>
        </w:rPr>
        <w:t xml:space="preserve">. Harvard University Press.</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2026-08-15T04:19:14.768Z</dcterms:created>
  <dcterms:modified xsi:type="dcterms:W3CDTF">2026-08-15T04:19:14.768Z</dcterms:modified>
</cp:coreProperties>
</file>

<file path=docProps/custom.xml><?xml version="1.0" encoding="utf-8"?>
<Properties xmlns="http://schemas.openxmlformats.org/officeDocument/2006/custom-properties" xmlns:vt="http://schemas.openxmlformats.org/officeDocument/2006/docPropsVTypes"/>
</file>